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020F" w14:textId="77777777" w:rsidR="00AB3BC6" w:rsidRDefault="00AB3BC6" w:rsidP="00AB3BC6">
      <w:pPr>
        <w:pStyle w:val="worksheetheader"/>
      </w:pPr>
      <w:bookmarkStart w:id="0" w:name="h.g0ctjhjfa49z" w:colFirst="0" w:colLast="0"/>
      <w:bookmarkEnd w:id="0"/>
      <w:r w:rsidRPr="006B3B3F">
        <w:rPr>
          <w:lang w:val="en-US" w:eastAsia="en-US"/>
        </w:rPr>
        <w:drawing>
          <wp:anchor distT="0" distB="0" distL="114300" distR="114300" simplePos="0" relativeHeight="251659264" behindDoc="0" locked="0" layoutInCell="1" allowOverlap="1" wp14:anchorId="26CE8AE4" wp14:editId="5CB323D2">
            <wp:simplePos x="0" y="0"/>
            <wp:positionH relativeFrom="column">
              <wp:posOffset>-914400</wp:posOffset>
            </wp:positionH>
            <wp:positionV relativeFrom="paragraph">
              <wp:posOffset>-908685</wp:posOffset>
            </wp:positionV>
            <wp:extent cx="7877175" cy="123825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_worksheet banner_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7175" cy="1238250"/>
                    </a:xfrm>
                    <a:prstGeom prst="rect">
                      <a:avLst/>
                    </a:prstGeom>
                  </pic:spPr>
                </pic:pic>
              </a:graphicData>
            </a:graphic>
          </wp:anchor>
        </w:drawing>
      </w:r>
      <w:r>
        <w:t>Worksheet 7.5</w:t>
      </w:r>
    </w:p>
    <w:p w14:paraId="7DFEC1E7" w14:textId="77777777" w:rsidR="00AB3BC6" w:rsidRPr="00F12DB5" w:rsidRDefault="00F12DB5" w:rsidP="00AB3BC6">
      <w:pPr>
        <w:widowControl w:val="0"/>
        <w:rPr>
          <w:b/>
        </w:rPr>
      </w:pPr>
      <w:r w:rsidRPr="00F12DB5">
        <w:rPr>
          <w:b/>
        </w:rPr>
        <w:t>Answer the following.</w:t>
      </w:r>
    </w:p>
    <w:p w14:paraId="3161AD8F" w14:textId="77777777" w:rsidR="00F12DB5" w:rsidRDefault="00F12DB5" w:rsidP="00AB3BC6">
      <w:pPr>
        <w:widowControl w:val="0"/>
      </w:pPr>
    </w:p>
    <w:p w14:paraId="0B4C1D7F" w14:textId="77777777" w:rsidR="00AB3BC6" w:rsidRDefault="00AB3BC6" w:rsidP="00AB3BC6">
      <w:pPr>
        <w:widowControl w:val="0"/>
      </w:pPr>
    </w:p>
    <w:p w14:paraId="02143CC0" w14:textId="77777777" w:rsidR="00AB3BC6" w:rsidRDefault="00AB3BC6" w:rsidP="00F12DB5">
      <w:pPr>
        <w:pStyle w:val="numberlist"/>
      </w:pPr>
      <w:r>
        <w:t xml:space="preserve">Hearsay evidence is </w:t>
      </w:r>
      <w:r>
        <w:rPr>
          <w:b/>
        </w:rPr>
        <w:t>never</w:t>
      </w:r>
      <w:r>
        <w:t xml:space="preserve"> admissible. </w:t>
      </w:r>
      <w:r w:rsidR="00F12DB5">
        <w:t>Is this t</w:t>
      </w:r>
      <w:r>
        <w:t>rue or false?</w:t>
      </w:r>
    </w:p>
    <w:p w14:paraId="5D6B3A49" w14:textId="77777777" w:rsidR="00AB3BC6" w:rsidRDefault="00AB3BC6" w:rsidP="00F12DB5">
      <w:pPr>
        <w:pStyle w:val="numberlist"/>
        <w:numPr>
          <w:ilvl w:val="0"/>
          <w:numId w:val="0"/>
        </w:numPr>
        <w:ind w:left="714"/>
      </w:pPr>
    </w:p>
    <w:tbl>
      <w:tblPr>
        <w:tblStyle w:val="TableGrid"/>
        <w:tblW w:w="0" w:type="auto"/>
        <w:tblInd w:w="1668" w:type="dxa"/>
        <w:tblLook w:val="04A0" w:firstRow="1" w:lastRow="0" w:firstColumn="1" w:lastColumn="0" w:noHBand="0" w:noVBand="1"/>
      </w:tblPr>
      <w:tblGrid>
        <w:gridCol w:w="1134"/>
        <w:gridCol w:w="1134"/>
      </w:tblGrid>
      <w:tr w:rsidR="00F12DB5" w14:paraId="6015A093" w14:textId="77777777" w:rsidTr="00F12DB5">
        <w:tc>
          <w:tcPr>
            <w:tcW w:w="1134" w:type="dxa"/>
          </w:tcPr>
          <w:p w14:paraId="75A7E6A0" w14:textId="77777777" w:rsidR="00F12DB5" w:rsidRPr="00F12DB5" w:rsidRDefault="00F12DB5" w:rsidP="00F12DB5">
            <w:pPr>
              <w:pStyle w:val="numberlist"/>
              <w:numPr>
                <w:ilvl w:val="0"/>
                <w:numId w:val="0"/>
              </w:numPr>
              <w:rPr>
                <w:b/>
              </w:rPr>
            </w:pPr>
            <w:r w:rsidRPr="00F12DB5">
              <w:rPr>
                <w:b/>
              </w:rPr>
              <w:t>TRUE</w:t>
            </w:r>
          </w:p>
        </w:tc>
        <w:tc>
          <w:tcPr>
            <w:tcW w:w="1134" w:type="dxa"/>
          </w:tcPr>
          <w:p w14:paraId="45476C61" w14:textId="77777777" w:rsidR="00F12DB5" w:rsidRPr="00F12DB5" w:rsidRDefault="000A45F8" w:rsidP="00F12DB5">
            <w:pPr>
              <w:pStyle w:val="numberlist"/>
              <w:numPr>
                <w:ilvl w:val="0"/>
                <w:numId w:val="0"/>
              </w:numPr>
              <w:jc w:val="center"/>
              <w:rPr>
                <w:b/>
              </w:rPr>
            </w:pPr>
            <w:r>
              <w:rPr>
                <w:b/>
              </w:rPr>
              <w:fldChar w:fldCharType="begin">
                <w:ffData>
                  <w:name w:val="Check1"/>
                  <w:enabled/>
                  <w:calcOnExit w:val="0"/>
                  <w:checkBox>
                    <w:sizeAuto/>
                    <w:default w:val="0"/>
                  </w:checkBox>
                </w:ffData>
              </w:fldChar>
            </w:r>
            <w:r w:rsidR="00F12DB5">
              <w:rPr>
                <w:b/>
              </w:rPr>
              <w:instrText xml:space="preserve"> </w:instrText>
            </w:r>
            <w:bookmarkStart w:id="1" w:name="Check1"/>
            <w:r w:rsidR="00F12DB5">
              <w:rPr>
                <w:b/>
              </w:rPr>
              <w:instrText xml:space="preserve">FORMCHECKBOX </w:instrText>
            </w:r>
            <w:r w:rsidR="00760B37">
              <w:rPr>
                <w:b/>
              </w:rPr>
            </w:r>
            <w:r w:rsidR="00760B37">
              <w:rPr>
                <w:b/>
              </w:rPr>
              <w:fldChar w:fldCharType="separate"/>
            </w:r>
            <w:r>
              <w:rPr>
                <w:b/>
              </w:rPr>
              <w:fldChar w:fldCharType="end"/>
            </w:r>
            <w:bookmarkEnd w:id="1"/>
          </w:p>
        </w:tc>
      </w:tr>
      <w:tr w:rsidR="00F12DB5" w14:paraId="6A533B0B" w14:textId="77777777" w:rsidTr="00F12DB5">
        <w:tc>
          <w:tcPr>
            <w:tcW w:w="1134" w:type="dxa"/>
          </w:tcPr>
          <w:p w14:paraId="38BE115A" w14:textId="77777777" w:rsidR="00F12DB5" w:rsidRPr="00F12DB5" w:rsidRDefault="00F12DB5" w:rsidP="00F12DB5">
            <w:pPr>
              <w:pStyle w:val="numberlist"/>
              <w:numPr>
                <w:ilvl w:val="0"/>
                <w:numId w:val="0"/>
              </w:numPr>
              <w:rPr>
                <w:b/>
              </w:rPr>
            </w:pPr>
            <w:r w:rsidRPr="00F12DB5">
              <w:rPr>
                <w:b/>
              </w:rPr>
              <w:t>FALSE</w:t>
            </w:r>
          </w:p>
        </w:tc>
        <w:tc>
          <w:tcPr>
            <w:tcW w:w="1134" w:type="dxa"/>
          </w:tcPr>
          <w:p w14:paraId="6EAC7D63" w14:textId="77777777" w:rsidR="00F12DB5" w:rsidRPr="00F12DB5" w:rsidRDefault="000A45F8" w:rsidP="00F12DB5">
            <w:pPr>
              <w:pStyle w:val="numberlist"/>
              <w:numPr>
                <w:ilvl w:val="0"/>
                <w:numId w:val="0"/>
              </w:numPr>
              <w:jc w:val="center"/>
              <w:rPr>
                <w:b/>
              </w:rPr>
            </w:pPr>
            <w:r>
              <w:rPr>
                <w:b/>
              </w:rPr>
              <w:fldChar w:fldCharType="begin">
                <w:ffData>
                  <w:name w:val="Check2"/>
                  <w:enabled/>
                  <w:calcOnExit w:val="0"/>
                  <w:checkBox>
                    <w:sizeAuto/>
                    <w:default w:val="0"/>
                  </w:checkBox>
                </w:ffData>
              </w:fldChar>
            </w:r>
            <w:bookmarkStart w:id="2" w:name="Check2"/>
            <w:r w:rsidR="00F12DB5">
              <w:rPr>
                <w:b/>
              </w:rPr>
              <w:instrText xml:space="preserve"> FORMCHECKBOX </w:instrText>
            </w:r>
            <w:r w:rsidR="00760B37">
              <w:rPr>
                <w:b/>
              </w:rPr>
            </w:r>
            <w:r w:rsidR="00760B37">
              <w:rPr>
                <w:b/>
              </w:rPr>
              <w:fldChar w:fldCharType="separate"/>
            </w:r>
            <w:r>
              <w:rPr>
                <w:b/>
              </w:rPr>
              <w:fldChar w:fldCharType="end"/>
            </w:r>
            <w:bookmarkEnd w:id="2"/>
          </w:p>
        </w:tc>
      </w:tr>
    </w:tbl>
    <w:p w14:paraId="160D0D69" w14:textId="77777777" w:rsidR="00F12DB5" w:rsidRDefault="00F12DB5" w:rsidP="00F12DB5">
      <w:pPr>
        <w:pStyle w:val="numberlist"/>
        <w:numPr>
          <w:ilvl w:val="0"/>
          <w:numId w:val="0"/>
        </w:numPr>
        <w:ind w:left="714"/>
      </w:pPr>
    </w:p>
    <w:p w14:paraId="0DC824A7" w14:textId="77777777" w:rsidR="00F12DB5" w:rsidRDefault="00F12DB5" w:rsidP="00F12DB5">
      <w:pPr>
        <w:pStyle w:val="numberlist"/>
        <w:numPr>
          <w:ilvl w:val="0"/>
          <w:numId w:val="0"/>
        </w:numPr>
        <w:ind w:left="714"/>
      </w:pPr>
    </w:p>
    <w:p w14:paraId="5232D449" w14:textId="77777777" w:rsidR="00F12DB5" w:rsidRDefault="00F12DB5" w:rsidP="00F12DB5">
      <w:pPr>
        <w:pStyle w:val="numberlist"/>
        <w:numPr>
          <w:ilvl w:val="0"/>
          <w:numId w:val="0"/>
        </w:numPr>
        <w:ind w:left="714"/>
      </w:pPr>
    </w:p>
    <w:p w14:paraId="0306E883" w14:textId="77777777" w:rsidR="00AB3BC6" w:rsidRDefault="00AB3BC6" w:rsidP="00F12DB5">
      <w:pPr>
        <w:pStyle w:val="numberlist"/>
      </w:pPr>
      <w:r>
        <w:t>When a person gives direct oral evidence in court, what are the benefits to the bench compared to reading a transcript of what he or she said, or an affidavit?</w:t>
      </w:r>
    </w:p>
    <w:p w14:paraId="3B12A3F6" w14:textId="77777777" w:rsidR="00F12DB5" w:rsidRDefault="00F12DB5" w:rsidP="00F12DB5">
      <w:pPr>
        <w:pStyle w:val="ListParagraph"/>
      </w:pPr>
    </w:p>
    <w:p w14:paraId="5528DAF3" w14:textId="6280CF0B" w:rsidR="00F12DB5" w:rsidRDefault="00F12DB5" w:rsidP="00F12DB5">
      <w:pPr>
        <w:pStyle w:val="numberlist"/>
        <w:numPr>
          <w:ilvl w:val="0"/>
          <w:numId w:val="0"/>
        </w:numPr>
        <w:ind w:left="714" w:hanging="357"/>
      </w:pPr>
    </w:p>
    <w:p w14:paraId="1B64912B" w14:textId="77777777" w:rsidR="00F12DB5" w:rsidRDefault="00F12DB5" w:rsidP="00F12DB5">
      <w:pPr>
        <w:pStyle w:val="numberlist"/>
        <w:numPr>
          <w:ilvl w:val="0"/>
          <w:numId w:val="0"/>
        </w:numPr>
        <w:ind w:left="714" w:hanging="357"/>
      </w:pPr>
    </w:p>
    <w:p w14:paraId="7C21DFE1" w14:textId="77777777" w:rsidR="00F12DB5" w:rsidRDefault="00F12DB5" w:rsidP="00F12DB5">
      <w:pPr>
        <w:pStyle w:val="numberlist"/>
        <w:numPr>
          <w:ilvl w:val="0"/>
          <w:numId w:val="0"/>
        </w:numPr>
        <w:ind w:left="714" w:hanging="357"/>
      </w:pPr>
    </w:p>
    <w:p w14:paraId="3A96C2F5" w14:textId="77777777" w:rsidR="00AB3BC6" w:rsidRDefault="00AB3BC6" w:rsidP="00F12DB5">
      <w:pPr>
        <w:pStyle w:val="numberlist"/>
        <w:numPr>
          <w:ilvl w:val="0"/>
          <w:numId w:val="0"/>
        </w:numPr>
        <w:ind w:left="714"/>
      </w:pPr>
    </w:p>
    <w:p w14:paraId="44C21389" w14:textId="77777777" w:rsidR="00F12DB5" w:rsidRDefault="00F12DB5" w:rsidP="00F12DB5">
      <w:pPr>
        <w:pStyle w:val="numberlist"/>
        <w:numPr>
          <w:ilvl w:val="0"/>
          <w:numId w:val="0"/>
        </w:numPr>
        <w:ind w:left="714"/>
      </w:pPr>
    </w:p>
    <w:p w14:paraId="64744323" w14:textId="77777777" w:rsidR="00AB3BC6" w:rsidRDefault="00AB3BC6" w:rsidP="00F12DB5">
      <w:pPr>
        <w:pStyle w:val="numberlist"/>
      </w:pPr>
      <w:r>
        <w:t>If a defend</w:t>
      </w:r>
      <w:r w:rsidR="00240B50">
        <w:t xml:space="preserve">ant wants to adduce (mention or </w:t>
      </w:r>
      <w:r>
        <w:t xml:space="preserve">bring to court) </w:t>
      </w:r>
      <w:r w:rsidR="00240B50">
        <w:rPr>
          <w:b/>
        </w:rPr>
        <w:t>any evidence at all,</w:t>
      </w:r>
      <w:r>
        <w:t xml:space="preserve"> that is his or her right because of </w:t>
      </w:r>
      <w:bookmarkStart w:id="3" w:name="_GoBack"/>
      <w:bookmarkEnd w:id="3"/>
      <w:r>
        <w:t>s 25(e) NZ  Bill of Rights Act 1990 which states as a minimum standard of criminal procedure</w:t>
      </w:r>
      <w:r w:rsidR="00240B50">
        <w:t xml:space="preserve"> that a defendant has</w:t>
      </w:r>
      <w:r>
        <w:t xml:space="preserve"> the right to be present at the trial and to present a defence.</w:t>
      </w:r>
    </w:p>
    <w:p w14:paraId="5B4083C8" w14:textId="77777777" w:rsidR="00F12DB5" w:rsidRDefault="00F12DB5" w:rsidP="00F12DB5">
      <w:pPr>
        <w:pStyle w:val="numberlist"/>
        <w:numPr>
          <w:ilvl w:val="0"/>
          <w:numId w:val="0"/>
        </w:numPr>
        <w:ind w:left="714"/>
      </w:pPr>
    </w:p>
    <w:p w14:paraId="550C8957" w14:textId="77777777" w:rsidR="00AB3BC6" w:rsidRDefault="00AB3BC6" w:rsidP="00F12DB5">
      <w:pPr>
        <w:pStyle w:val="numberlist"/>
        <w:numPr>
          <w:ilvl w:val="0"/>
          <w:numId w:val="0"/>
        </w:numPr>
        <w:ind w:left="714"/>
      </w:pPr>
      <w:r>
        <w:t>Briefly discuss this proposition.</w:t>
      </w:r>
    </w:p>
    <w:p w14:paraId="5CFDA7D8" w14:textId="77777777" w:rsidR="00F12DB5" w:rsidRDefault="00F12DB5" w:rsidP="00F12DB5">
      <w:pPr>
        <w:pStyle w:val="numberlist"/>
        <w:numPr>
          <w:ilvl w:val="0"/>
          <w:numId w:val="0"/>
        </w:numPr>
        <w:ind w:left="714"/>
      </w:pPr>
    </w:p>
    <w:p w14:paraId="0A1CF020" w14:textId="0293D66E" w:rsidR="00F12DB5" w:rsidRDefault="00F12DB5" w:rsidP="00F12DB5">
      <w:pPr>
        <w:pStyle w:val="numberlist"/>
        <w:numPr>
          <w:ilvl w:val="0"/>
          <w:numId w:val="0"/>
        </w:numPr>
        <w:ind w:left="714" w:hanging="357"/>
      </w:pPr>
    </w:p>
    <w:p w14:paraId="1334A942" w14:textId="77777777" w:rsidR="00F12DB5" w:rsidRDefault="00F12DB5" w:rsidP="00F12DB5">
      <w:pPr>
        <w:pStyle w:val="numberlist"/>
        <w:numPr>
          <w:ilvl w:val="0"/>
          <w:numId w:val="0"/>
        </w:numPr>
        <w:ind w:left="714"/>
      </w:pPr>
    </w:p>
    <w:p w14:paraId="664E1434" w14:textId="77777777" w:rsidR="00F12DB5" w:rsidRDefault="00F12DB5" w:rsidP="00F12DB5">
      <w:pPr>
        <w:pStyle w:val="numberlist"/>
        <w:numPr>
          <w:ilvl w:val="0"/>
          <w:numId w:val="0"/>
        </w:numPr>
        <w:ind w:left="714"/>
      </w:pPr>
    </w:p>
    <w:p w14:paraId="5C69F6D1" w14:textId="77777777" w:rsidR="00F12DB5" w:rsidRDefault="00F12DB5" w:rsidP="00F12DB5">
      <w:pPr>
        <w:pStyle w:val="numberlist"/>
        <w:numPr>
          <w:ilvl w:val="0"/>
          <w:numId w:val="0"/>
        </w:numPr>
        <w:ind w:left="714"/>
      </w:pPr>
    </w:p>
    <w:p w14:paraId="682E874A" w14:textId="77777777" w:rsidR="00AB3BC6" w:rsidRDefault="00AB3BC6" w:rsidP="00F12DB5">
      <w:pPr>
        <w:pStyle w:val="numberlist"/>
        <w:numPr>
          <w:ilvl w:val="0"/>
          <w:numId w:val="0"/>
        </w:numPr>
        <w:ind w:left="714"/>
      </w:pPr>
    </w:p>
    <w:p w14:paraId="5C091A24" w14:textId="77777777" w:rsidR="00AB3BC6" w:rsidRDefault="00AB3BC6" w:rsidP="00F12DB5">
      <w:pPr>
        <w:pStyle w:val="numberlist"/>
      </w:pPr>
      <w:r>
        <w:t>If witness Jones</w:t>
      </w:r>
      <w:r w:rsidR="00F12DB5">
        <w:t>,</w:t>
      </w:r>
      <w:r>
        <w:t xml:space="preserve"> who was a passenger in a car whose driver is now defending a careless driving charge</w:t>
      </w:r>
      <w:r w:rsidR="00F12DB5">
        <w:t>,</w:t>
      </w:r>
      <w:r>
        <w:t xml:space="preserve"> says that she thinks her friend the defendant is a good driver because they have been friends for 15 years and he has never even had a ticket so he wouldn't be likely to have driven carelessly and she thinks the crash happened so quickly that it could not have been his fault.…. how will the court treat this statement?</w:t>
      </w:r>
    </w:p>
    <w:p w14:paraId="643CC55F" w14:textId="77777777" w:rsidR="00AB3BC6" w:rsidRDefault="00AB3BC6" w:rsidP="00F12DB5">
      <w:pPr>
        <w:pStyle w:val="numberlist"/>
        <w:numPr>
          <w:ilvl w:val="0"/>
          <w:numId w:val="0"/>
        </w:numPr>
        <w:ind w:left="714"/>
      </w:pPr>
    </w:p>
    <w:p w14:paraId="0A6CB5BE" w14:textId="7C95EFFB" w:rsidR="00F12DB5" w:rsidRDefault="00F12DB5" w:rsidP="00F12DB5">
      <w:pPr>
        <w:pStyle w:val="numberlist"/>
        <w:numPr>
          <w:ilvl w:val="0"/>
          <w:numId w:val="0"/>
        </w:numPr>
        <w:ind w:left="714" w:hanging="357"/>
      </w:pPr>
    </w:p>
    <w:p w14:paraId="0784E08A" w14:textId="77777777" w:rsidR="00F12DB5" w:rsidRDefault="00F12DB5" w:rsidP="00F12DB5">
      <w:pPr>
        <w:pStyle w:val="numberlist"/>
        <w:numPr>
          <w:ilvl w:val="0"/>
          <w:numId w:val="0"/>
        </w:numPr>
        <w:ind w:left="714"/>
      </w:pPr>
    </w:p>
    <w:p w14:paraId="0FA6CF8C" w14:textId="77777777" w:rsidR="00F12DB5" w:rsidRDefault="00F12DB5" w:rsidP="00F12DB5">
      <w:pPr>
        <w:pStyle w:val="numberlist"/>
        <w:numPr>
          <w:ilvl w:val="0"/>
          <w:numId w:val="0"/>
        </w:numPr>
        <w:ind w:left="714"/>
      </w:pPr>
    </w:p>
    <w:p w14:paraId="0D74F74B" w14:textId="77777777" w:rsidR="00F12DB5" w:rsidRDefault="00F12DB5" w:rsidP="00F12DB5">
      <w:pPr>
        <w:pStyle w:val="numberlist"/>
        <w:numPr>
          <w:ilvl w:val="0"/>
          <w:numId w:val="0"/>
        </w:numPr>
        <w:ind w:left="714"/>
      </w:pPr>
    </w:p>
    <w:p w14:paraId="5B3FAC05" w14:textId="77777777" w:rsidR="00F12DB5" w:rsidRDefault="00F12DB5" w:rsidP="00F12DB5">
      <w:pPr>
        <w:pStyle w:val="numberlist"/>
        <w:numPr>
          <w:ilvl w:val="0"/>
          <w:numId w:val="0"/>
        </w:numPr>
        <w:ind w:left="714"/>
      </w:pPr>
    </w:p>
    <w:p w14:paraId="34B7295D" w14:textId="77777777" w:rsidR="00AB3BC6" w:rsidRDefault="00AB3BC6" w:rsidP="00F12DB5">
      <w:pPr>
        <w:pStyle w:val="numberlist"/>
      </w:pPr>
      <w:r>
        <w:lastRenderedPageBreak/>
        <w:t>A doctor is a witness in a traffic case. The doctor says “it is my opinion that Ms Waller had suffered an unusual reaction to her prescribed medicines which could not have been predicted”. Is this opinion evidence admissible? Why or why not?</w:t>
      </w:r>
    </w:p>
    <w:p w14:paraId="71BA9DB0" w14:textId="77777777" w:rsidR="00AB3BC6" w:rsidRDefault="00AB3BC6" w:rsidP="00F12DB5">
      <w:pPr>
        <w:pStyle w:val="numberlist"/>
        <w:numPr>
          <w:ilvl w:val="0"/>
          <w:numId w:val="0"/>
        </w:numPr>
        <w:ind w:left="714"/>
      </w:pPr>
    </w:p>
    <w:p w14:paraId="1F405F07" w14:textId="1F246EF8" w:rsidR="00F12DB5" w:rsidRDefault="00F12DB5" w:rsidP="00F12DB5">
      <w:pPr>
        <w:pStyle w:val="numberlist"/>
        <w:numPr>
          <w:ilvl w:val="0"/>
          <w:numId w:val="0"/>
        </w:numPr>
        <w:ind w:left="714" w:hanging="357"/>
      </w:pPr>
    </w:p>
    <w:p w14:paraId="038A4D37" w14:textId="77777777" w:rsidR="00F12DB5" w:rsidRDefault="00F12DB5" w:rsidP="00F12DB5">
      <w:pPr>
        <w:pStyle w:val="numberlist"/>
        <w:numPr>
          <w:ilvl w:val="0"/>
          <w:numId w:val="0"/>
        </w:numPr>
        <w:ind w:left="714"/>
      </w:pPr>
    </w:p>
    <w:p w14:paraId="6BC0D6E6" w14:textId="77777777" w:rsidR="00F12DB5" w:rsidRDefault="00F12DB5" w:rsidP="00F12DB5">
      <w:pPr>
        <w:pStyle w:val="numberlist"/>
        <w:numPr>
          <w:ilvl w:val="0"/>
          <w:numId w:val="0"/>
        </w:numPr>
        <w:ind w:left="714"/>
      </w:pPr>
    </w:p>
    <w:p w14:paraId="60011DEE" w14:textId="77777777" w:rsidR="00F12DB5" w:rsidRDefault="00F12DB5" w:rsidP="00F12DB5">
      <w:pPr>
        <w:pStyle w:val="numberlist"/>
        <w:numPr>
          <w:ilvl w:val="0"/>
          <w:numId w:val="0"/>
        </w:numPr>
        <w:ind w:left="714"/>
      </w:pPr>
    </w:p>
    <w:p w14:paraId="25E60E5A" w14:textId="77777777" w:rsidR="00AB3BC6" w:rsidRDefault="00AB3BC6" w:rsidP="00F12DB5">
      <w:pPr>
        <w:pStyle w:val="numberlist"/>
      </w:pPr>
      <w:r>
        <w:t xml:space="preserve">Two Justices are considering an affidavit of evidence produced by a defendant in respect of charge under the Land Transport Act 1998.  One says “most of this is inadmissible - he lives miles from anywhere, like a hundred k’s away, it’s full of irrelevancies, other people’s opinions and his opinions, and he tries to say that because he has successfully defended two cases before he clearly has a ‘propensity’ to be correct! We can’t have regard to </w:t>
      </w:r>
      <w:r>
        <w:rPr>
          <w:b/>
        </w:rPr>
        <w:t xml:space="preserve">any </w:t>
      </w:r>
      <w:r>
        <w:t>of this.</w:t>
      </w:r>
      <w:r w:rsidR="00A938B2">
        <w:t>”</w:t>
      </w:r>
    </w:p>
    <w:p w14:paraId="05C152D6" w14:textId="77777777" w:rsidR="00F12DB5" w:rsidRDefault="00F12DB5" w:rsidP="00F12DB5">
      <w:pPr>
        <w:pStyle w:val="numberlist"/>
        <w:numPr>
          <w:ilvl w:val="0"/>
          <w:numId w:val="0"/>
        </w:numPr>
        <w:ind w:left="714"/>
      </w:pPr>
    </w:p>
    <w:p w14:paraId="6493A1CC" w14:textId="77777777" w:rsidR="00AB3BC6" w:rsidRDefault="00AB3BC6" w:rsidP="00F12DB5">
      <w:pPr>
        <w:pStyle w:val="numberlist"/>
        <w:numPr>
          <w:ilvl w:val="0"/>
          <w:numId w:val="0"/>
        </w:numPr>
        <w:ind w:left="714"/>
      </w:pPr>
      <w:r>
        <w:t>What might the other Justice answer?</w:t>
      </w:r>
    </w:p>
    <w:p w14:paraId="0EB308F2" w14:textId="77777777" w:rsidR="00F12DB5" w:rsidRDefault="00F12DB5" w:rsidP="00F12DB5">
      <w:pPr>
        <w:pStyle w:val="numberlist"/>
        <w:numPr>
          <w:ilvl w:val="0"/>
          <w:numId w:val="0"/>
        </w:numPr>
        <w:ind w:left="714" w:hanging="357"/>
      </w:pPr>
    </w:p>
    <w:p w14:paraId="056AECBB" w14:textId="53C1D12C" w:rsidR="00F12DB5" w:rsidRDefault="00F12DB5" w:rsidP="00F12DB5">
      <w:pPr>
        <w:pStyle w:val="numberlist"/>
        <w:numPr>
          <w:ilvl w:val="0"/>
          <w:numId w:val="0"/>
        </w:numPr>
        <w:ind w:left="714" w:hanging="357"/>
      </w:pPr>
    </w:p>
    <w:p w14:paraId="720879FA" w14:textId="77777777" w:rsidR="00AB3BC6" w:rsidRDefault="00AB3BC6" w:rsidP="00AB3BC6">
      <w:pPr>
        <w:widowControl w:val="0"/>
      </w:pPr>
      <w:r>
        <w:rPr>
          <w:sz w:val="24"/>
        </w:rPr>
        <w:tab/>
      </w:r>
    </w:p>
    <w:p w14:paraId="4A3C66ED" w14:textId="77777777" w:rsidR="00AB3BC6" w:rsidRDefault="00AB3BC6" w:rsidP="00AB3BC6">
      <w:pPr>
        <w:widowControl w:val="0"/>
      </w:pPr>
    </w:p>
    <w:p w14:paraId="0A457CB9" w14:textId="77777777" w:rsidR="00EB6D0B" w:rsidRDefault="00760B37"/>
    <w:sectPr w:rsidR="00EB6D0B" w:rsidSect="00706644">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17EA3"/>
    <w:multiLevelType w:val="hybridMultilevel"/>
    <w:tmpl w:val="F1E0D522"/>
    <w:lvl w:ilvl="0" w:tplc="4BCAF960">
      <w:start w:val="1"/>
      <w:numFmt w:val="decimal"/>
      <w:pStyle w:val="number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F6F2C28"/>
    <w:multiLevelType w:val="multilevel"/>
    <w:tmpl w:val="4FE689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C6"/>
    <w:rsid w:val="000A45F8"/>
    <w:rsid w:val="001A5091"/>
    <w:rsid w:val="001B316D"/>
    <w:rsid w:val="001C7C22"/>
    <w:rsid w:val="00222248"/>
    <w:rsid w:val="00240B50"/>
    <w:rsid w:val="002430E6"/>
    <w:rsid w:val="00324D13"/>
    <w:rsid w:val="0045655D"/>
    <w:rsid w:val="004D7357"/>
    <w:rsid w:val="004E5C86"/>
    <w:rsid w:val="00530854"/>
    <w:rsid w:val="005F37C8"/>
    <w:rsid w:val="006E5F1A"/>
    <w:rsid w:val="00760B37"/>
    <w:rsid w:val="00A938B2"/>
    <w:rsid w:val="00AB3BC6"/>
    <w:rsid w:val="00BF428E"/>
    <w:rsid w:val="00C83A8B"/>
    <w:rsid w:val="00EC058A"/>
    <w:rsid w:val="00F12DB5"/>
    <w:rsid w:val="00FD4D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70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B3BC6"/>
    <w:pPr>
      <w:spacing w:after="0"/>
    </w:pPr>
    <w:rPr>
      <w:rFonts w:ascii="Arial" w:hAnsi="Arial" w:cs="Arial"/>
      <w:color w:val="000000"/>
      <w:szCs w:val="20"/>
      <w:lang w:eastAsia="en-NZ"/>
    </w:rPr>
  </w:style>
  <w:style w:type="paragraph" w:styleId="Heading1">
    <w:name w:val="heading 1"/>
    <w:basedOn w:val="Normal"/>
    <w:next w:val="Normal"/>
    <w:link w:val="Heading1Char"/>
    <w:uiPriority w:val="9"/>
    <w:rsid w:val="001B316D"/>
    <w:pPr>
      <w:spacing w:before="480"/>
      <w:contextualSpacing/>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rsid w:val="001B316D"/>
    <w:pPr>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rsid w:val="001B316D"/>
    <w:pPr>
      <w:spacing w:before="200" w:line="271" w:lineRule="auto"/>
      <w:outlineLvl w:val="2"/>
    </w:pPr>
    <w:rPr>
      <w:rFonts w:eastAsiaTheme="majorEastAsia" w:cstheme="majorBidi"/>
      <w:b/>
      <w:bCs/>
      <w:sz w:val="28"/>
    </w:rPr>
  </w:style>
  <w:style w:type="paragraph" w:styleId="Heading4">
    <w:name w:val="heading 4"/>
    <w:basedOn w:val="Normal"/>
    <w:next w:val="Normal"/>
    <w:link w:val="Heading4Char"/>
    <w:uiPriority w:val="9"/>
    <w:semiHidden/>
    <w:unhideWhenUsed/>
    <w:rsid w:val="001B316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1B316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B316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1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31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31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6D"/>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1B316D"/>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1B316D"/>
    <w:rPr>
      <w:rFonts w:ascii="Arial" w:eastAsiaTheme="majorEastAsia" w:hAnsi="Arial" w:cstheme="majorBidi"/>
      <w:b/>
      <w:bCs/>
      <w:sz w:val="28"/>
    </w:rPr>
  </w:style>
  <w:style w:type="character" w:customStyle="1" w:styleId="Heading4Char">
    <w:name w:val="Heading 4 Char"/>
    <w:basedOn w:val="DefaultParagraphFont"/>
    <w:link w:val="Heading4"/>
    <w:uiPriority w:val="9"/>
    <w:semiHidden/>
    <w:rsid w:val="001B31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1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1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1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31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316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1B31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16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1B31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16D"/>
    <w:rPr>
      <w:rFonts w:asciiTheme="majorHAnsi" w:eastAsiaTheme="majorEastAsia" w:hAnsiTheme="majorHAnsi" w:cstheme="majorBidi"/>
      <w:i/>
      <w:iCs/>
      <w:spacing w:val="13"/>
      <w:sz w:val="24"/>
      <w:szCs w:val="24"/>
    </w:rPr>
  </w:style>
  <w:style w:type="character" w:styleId="Strong">
    <w:name w:val="Strong"/>
    <w:uiPriority w:val="22"/>
    <w:qFormat/>
    <w:rsid w:val="001B316D"/>
    <w:rPr>
      <w:b/>
      <w:bCs/>
    </w:rPr>
  </w:style>
  <w:style w:type="character" w:styleId="Emphasis">
    <w:name w:val="Emphasis"/>
    <w:uiPriority w:val="20"/>
    <w:qFormat/>
    <w:rsid w:val="001B316D"/>
    <w:rPr>
      <w:i/>
      <w:iCs/>
    </w:rPr>
  </w:style>
  <w:style w:type="paragraph" w:styleId="NoSpacing">
    <w:name w:val="No Spacing"/>
    <w:basedOn w:val="Normal"/>
    <w:uiPriority w:val="1"/>
    <w:qFormat/>
    <w:rsid w:val="001B316D"/>
    <w:pPr>
      <w:spacing w:line="240" w:lineRule="auto"/>
    </w:pPr>
  </w:style>
  <w:style w:type="paragraph" w:styleId="ListParagraph">
    <w:name w:val="List Paragraph"/>
    <w:basedOn w:val="Normal"/>
    <w:uiPriority w:val="34"/>
    <w:qFormat/>
    <w:rsid w:val="001B316D"/>
    <w:pPr>
      <w:ind w:left="720"/>
      <w:contextualSpacing/>
    </w:pPr>
  </w:style>
  <w:style w:type="paragraph" w:styleId="Quote">
    <w:name w:val="Quote"/>
    <w:basedOn w:val="Normal"/>
    <w:next w:val="Normal"/>
    <w:link w:val="QuoteChar"/>
    <w:uiPriority w:val="29"/>
    <w:qFormat/>
    <w:rsid w:val="001B316D"/>
    <w:rPr>
      <w:i/>
      <w:iCs/>
      <w:color w:val="000000" w:themeColor="text1"/>
    </w:rPr>
  </w:style>
  <w:style w:type="character" w:customStyle="1" w:styleId="QuoteChar">
    <w:name w:val="Quote Char"/>
    <w:basedOn w:val="DefaultParagraphFont"/>
    <w:link w:val="Quote"/>
    <w:uiPriority w:val="29"/>
    <w:rsid w:val="001B316D"/>
    <w:rPr>
      <w:rFonts w:ascii="Arial" w:eastAsia="Arial" w:hAnsi="Arial" w:cs="Arial"/>
      <w:i/>
      <w:iCs/>
      <w:color w:val="000000" w:themeColor="text1"/>
    </w:rPr>
  </w:style>
  <w:style w:type="paragraph" w:styleId="IntenseQuote">
    <w:name w:val="Intense Quote"/>
    <w:basedOn w:val="Normal"/>
    <w:next w:val="Normal"/>
    <w:link w:val="IntenseQuoteChar"/>
    <w:uiPriority w:val="30"/>
    <w:qFormat/>
    <w:rsid w:val="001B31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316D"/>
    <w:rPr>
      <w:rFonts w:ascii="Arial" w:eastAsia="Arial" w:hAnsi="Arial" w:cs="Arial"/>
      <w:b/>
      <w:bCs/>
      <w:i/>
      <w:iCs/>
      <w:color w:val="4F81BD" w:themeColor="accent1"/>
    </w:rPr>
  </w:style>
  <w:style w:type="character" w:styleId="SubtleEmphasis">
    <w:name w:val="Subtle Emphasis"/>
    <w:uiPriority w:val="19"/>
    <w:qFormat/>
    <w:rsid w:val="001B316D"/>
    <w:rPr>
      <w:i/>
      <w:iCs/>
      <w:color w:val="808080" w:themeColor="text1" w:themeTint="7F"/>
    </w:rPr>
  </w:style>
  <w:style w:type="character" w:styleId="IntenseEmphasis">
    <w:name w:val="Intense Emphasis"/>
    <w:uiPriority w:val="21"/>
    <w:qFormat/>
    <w:rsid w:val="001B316D"/>
    <w:rPr>
      <w:b/>
      <w:bCs/>
      <w:i/>
      <w:iCs/>
      <w:color w:val="4F81BD" w:themeColor="accent1"/>
    </w:rPr>
  </w:style>
  <w:style w:type="character" w:styleId="SubtleReference">
    <w:name w:val="Subtle Reference"/>
    <w:uiPriority w:val="31"/>
    <w:qFormat/>
    <w:rsid w:val="001B316D"/>
    <w:rPr>
      <w:smallCaps/>
      <w:color w:val="C0504D" w:themeColor="accent2"/>
      <w:u w:val="single"/>
    </w:rPr>
  </w:style>
  <w:style w:type="character" w:styleId="IntenseReference">
    <w:name w:val="Intense Reference"/>
    <w:uiPriority w:val="32"/>
    <w:qFormat/>
    <w:rsid w:val="001B316D"/>
    <w:rPr>
      <w:b/>
      <w:bCs/>
      <w:smallCaps/>
      <w:color w:val="C0504D" w:themeColor="accent2"/>
      <w:spacing w:val="5"/>
      <w:u w:val="single"/>
    </w:rPr>
  </w:style>
  <w:style w:type="character" w:styleId="BookTitle">
    <w:name w:val="Book Title"/>
    <w:uiPriority w:val="33"/>
    <w:qFormat/>
    <w:rsid w:val="001B316D"/>
    <w:rPr>
      <w:b/>
      <w:bCs/>
      <w:smallCaps/>
      <w:spacing w:val="5"/>
    </w:rPr>
  </w:style>
  <w:style w:type="paragraph" w:styleId="TOCHeading">
    <w:name w:val="TOC Heading"/>
    <w:basedOn w:val="Heading1"/>
    <w:next w:val="Normal"/>
    <w:uiPriority w:val="39"/>
    <w:semiHidden/>
    <w:unhideWhenUsed/>
    <w:qFormat/>
    <w:rsid w:val="001B316D"/>
    <w:pPr>
      <w:keepNext/>
      <w:keepLines/>
      <w:contextualSpacing w:val="0"/>
      <w:outlineLvl w:val="9"/>
    </w:pPr>
    <w:rPr>
      <w:rFonts w:asciiTheme="majorHAnsi" w:hAnsiTheme="majorHAnsi"/>
      <w:color w:val="365F91" w:themeColor="accent1" w:themeShade="BF"/>
      <w:sz w:val="28"/>
    </w:rPr>
  </w:style>
  <w:style w:type="paragraph" w:customStyle="1" w:styleId="numberlist">
    <w:name w:val="number list"/>
    <w:basedOn w:val="Normal"/>
    <w:link w:val="numberlistChar"/>
    <w:qFormat/>
    <w:rsid w:val="0045655D"/>
    <w:pPr>
      <w:numPr>
        <w:numId w:val="3"/>
      </w:numPr>
      <w:ind w:left="714" w:hanging="357"/>
    </w:pPr>
  </w:style>
  <w:style w:type="character" w:customStyle="1" w:styleId="numberlistChar">
    <w:name w:val="number list Char"/>
    <w:basedOn w:val="DefaultParagraphFont"/>
    <w:link w:val="numberlist"/>
    <w:rsid w:val="0045655D"/>
    <w:rPr>
      <w:rFonts w:ascii="Arial" w:eastAsia="Arial" w:hAnsi="Arial" w:cs="Arial"/>
      <w:color w:val="000000"/>
    </w:rPr>
  </w:style>
  <w:style w:type="paragraph" w:customStyle="1" w:styleId="worksheetheader">
    <w:name w:val="worksheet header"/>
    <w:basedOn w:val="Normal"/>
    <w:link w:val="worksheetheaderChar"/>
    <w:qFormat/>
    <w:rsid w:val="0045655D"/>
    <w:pPr>
      <w:spacing w:before="200"/>
      <w:jc w:val="center"/>
    </w:pPr>
    <w:rPr>
      <w:b/>
      <w:noProof/>
      <w:sz w:val="40"/>
      <w:szCs w:val="40"/>
    </w:rPr>
  </w:style>
  <w:style w:type="character" w:customStyle="1" w:styleId="worksheetheaderChar">
    <w:name w:val="worksheet header Char"/>
    <w:basedOn w:val="DefaultParagraphFont"/>
    <w:link w:val="worksheetheader"/>
    <w:rsid w:val="0045655D"/>
    <w:rPr>
      <w:rFonts w:ascii="Arial" w:eastAsia="Arial" w:hAnsi="Arial" w:cs="Arial"/>
      <w:b/>
      <w:noProof/>
      <w:color w:val="000000"/>
      <w:sz w:val="40"/>
      <w:szCs w:val="40"/>
    </w:rPr>
  </w:style>
  <w:style w:type="table" w:styleId="TableGrid">
    <w:name w:val="Table Grid"/>
    <w:basedOn w:val="TableNormal"/>
    <w:uiPriority w:val="59"/>
    <w:rsid w:val="00F12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12DB5"/>
    <w:rPr>
      <w:color w:val="808080"/>
    </w:rPr>
  </w:style>
  <w:style w:type="paragraph" w:styleId="BalloonText">
    <w:name w:val="Balloon Text"/>
    <w:basedOn w:val="Normal"/>
    <w:link w:val="BalloonTextChar"/>
    <w:uiPriority w:val="99"/>
    <w:semiHidden/>
    <w:unhideWhenUsed/>
    <w:rsid w:val="00F12D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B5"/>
    <w:rPr>
      <w:rFonts w:ascii="Tahoma" w:hAnsi="Tahoma" w:cs="Tahoma"/>
      <w:color w:val="000000"/>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7" ma:contentTypeDescription="Create a new document." ma:contentTypeScope="" ma:versionID="fafad929337d0abe5148c207ec6adb13">
  <xsd:schema xmlns:xsd="http://www.w3.org/2001/XMLSchema" xmlns:xs="http://www.w3.org/2001/XMLSchema" xmlns:p="http://schemas.microsoft.com/office/2006/metadata/properties" xmlns:ns2="eb844a17-4fff-4c81-9e7d-40a038723f10" xmlns:ns3="70dc1873-536e-4f65-a005-253896d87ff8" targetNamespace="http://schemas.microsoft.com/office/2006/metadata/properties" ma:root="true" ma:fieldsID="6e388f795bdf3a944398ac307b80ce2a" ns2:_="" ns3:_="">
    <xsd:import namespace="eb844a17-4fff-4c81-9e7d-40a038723f10"/>
    <xsd:import namespace="70dc1873-536e-4f65-a005-253896d87f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44a17-4fff-4c81-9e7d-40a038723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67b57-b5fa-44b7-af4e-ad05ef9fe27d}" ma:internalName="TaxCatchAll" ma:showField="CatchAllData" ma:web="eb844a17-4fff-4c81-9e7d-40a038723f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7963f-9a62-4df6-a013-008a9d5bb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A62D5-7901-414A-A25A-E60CC9CB04C3}"/>
</file>

<file path=customXml/itemProps2.xml><?xml version="1.0" encoding="utf-8"?>
<ds:datastoreItem xmlns:ds="http://schemas.openxmlformats.org/officeDocument/2006/customXml" ds:itemID="{E94AB717-2B00-48E0-B778-A900E9FBB8E0}"/>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dcterms:created xsi:type="dcterms:W3CDTF">2020-03-31T19:09:00Z</dcterms:created>
  <dcterms:modified xsi:type="dcterms:W3CDTF">2020-03-31T19:10:00Z</dcterms:modified>
</cp:coreProperties>
</file>